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31"/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 Контрольно-счетный отдел</w:t>
      </w:r>
    </w:p>
    <w:p>
      <w:pPr>
        <w:pStyle w:val="Style_3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Левокумского муниципального округа</w:t>
      </w:r>
    </w:p>
    <w:p>
      <w:pPr>
        <w:pStyle w:val="Style_3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Ставропольского края</w:t>
      </w:r>
    </w:p>
    <w:p>
      <w:pPr>
        <w:pStyle w:val="Style_31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  <w:t xml:space="preserve"> </w:t>
      </w: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val="ru-RU" w:bidi="ar-SA"/>
        </w:rPr>
        <w:t xml:space="preserve">ПРИКАЗ</w:t>
      </w: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hd w:val="clear" w:fill="ffffff"/>
        <w:spacing w:before="0" w:after="0" w:line="240" w:lineRule="auto"/>
        <w:ind w:left="0" w:right="0" w:hanging="15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«26» декабря 2020 года              с. Левокумское                                             № 7                                                                                                          </w:t>
      </w:r>
    </w:p>
    <w:p>
      <w:pPr>
        <w:shd w:val="clear" w:fill="ffffff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</w:p>
    <w:p>
      <w:pP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pStyle w:val="Style_38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Об утверждении </w:t>
      </w:r>
    </w:p>
    <w:p>
      <w:pPr>
        <w:pStyle w:val="Style_38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плана работы Контрольно-счетного отдела</w:t>
      </w:r>
    </w:p>
    <w:p>
      <w:pPr>
        <w:pStyle w:val="Style_38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Левокумского муниципального округа </w:t>
      </w:r>
    </w:p>
    <w:p>
      <w:pPr>
        <w:pStyle w:val="Style_38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Ставропольского края  на 2021 год </w:t>
      </w:r>
    </w:p>
    <w:p>
      <w:pPr>
        <w:pStyle w:val="Style_38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pStyle w:val="Style_38"/>
        <w:spacing w:before="0" w:after="0" w:line="240" w:lineRule="atLeast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tabs>
          <w:tab w:val="left" w:pos="5988"/>
          <w:tab w:val="left" w:pos="7655"/>
        </w:tabs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aps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Руководствуясь статьей 12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пунктом 4 статьи 9 и статьей 12 Положения о Контрольно-счетном отделе Левокумского муниципального округа Ставропольского края, утвержденного решением Совета Левокумского муниципального округа Ставропольского края от 19.11.2020г. №46, Регламентом Контрольно-счетного отдела Левокумского муниципального округа Ставропольского края, Стандартом организации деятельности Контрольно-счетного отдела Левокумского муниципального округа Ставропольского края </w:t>
      </w:r>
      <w:r>
        <w:rPr>
          <w:rFonts w:ascii="Times New Roman" w:hAnsi="Times New Roman" w:eastAsia="Times New Roman" w:cs="Times New Roman"/>
          <w:caps/>
          <w:color w:val="000000"/>
          <w:sz w:val="28"/>
          <w:szCs w:val="28"/>
          <w:lang w:val="ru-RU" w:bidi="ar-SA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Планирование работы Контрольно-счетного отдела Левокумского муниципального округа Ставропольского края</w:t>
      </w:r>
      <w:r>
        <w:rPr>
          <w:rFonts w:ascii="Times New Roman" w:hAnsi="Times New Roman" w:eastAsia="Times New Roman" w:cs="Times New Roman"/>
          <w:caps/>
          <w:color w:val="000000"/>
          <w:sz w:val="28"/>
          <w:szCs w:val="28"/>
          <w:lang w:val="ru-RU" w:bidi="ar-SA"/>
        </w:rPr>
        <w:t xml:space="preserve">», </w:t>
      </w:r>
    </w:p>
    <w:p>
      <w:pPr>
        <w:shd w:val="clear" w:fill="ffffff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ab/>
      </w:r>
    </w:p>
    <w:p>
      <w:pPr>
        <w:shd w:val="clear" w:fill="ffffff"/>
        <w:tabs>
          <w:tab w:val="left" w:pos="57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bidi="ar-SA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ПРИКАЗЫВАЮ:</w:t>
      </w:r>
    </w:p>
    <w:p>
      <w:pP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hd w:val="clear" w:fill="ffffff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1. Утвердить прилагаемый план работы Контрольно-счетного отдела Левокумского муниципального округа Ставропольского края на 2021 год.</w:t>
      </w:r>
    </w:p>
    <w:p>
      <w:pPr>
        <w:shd w:val="clear" w:fill="ffffff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2. Контроль за  исполнением настоящего приказа оставляю за собой.   </w:t>
      </w:r>
    </w:p>
    <w:p>
      <w:pPr>
        <w:shd w:val="clear" w:fill="ffffff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ar-SA"/>
        </w:rPr>
        <w:t xml:space="preserve"> </w:t>
      </w:r>
    </w:p>
    <w:p>
      <w:pP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Председатель</w:t>
      </w:r>
    </w:p>
    <w:p>
      <w:pPr>
        <w:pStyle w:val="Style_31"/>
        <w:spacing w:before="0" w:after="0" w:line="240" w:lineRule="auto"/>
        <w:ind w:left="360" w:right="0" w:hanging="323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Контрольно-счетного отдела</w:t>
      </w:r>
    </w:p>
    <w:p>
      <w:pPr>
        <w:pStyle w:val="Style_31"/>
        <w:spacing w:before="0" w:after="0" w:line="240" w:lineRule="auto"/>
        <w:ind w:left="360" w:right="0" w:hanging="335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Левокумского муниципального округа</w:t>
      </w:r>
    </w:p>
    <w:p>
      <w:pPr>
        <w:pStyle w:val="Style_31"/>
        <w:spacing w:before="0" w:after="0" w:line="240" w:lineRule="auto"/>
        <w:ind w:left="360" w:right="0" w:hanging="335"/>
        <w:jc w:val="left"/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sectPr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num="1" w:space="720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Ставропольского края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ar-SA"/>
        </w:rPr>
        <w:t xml:space="preserve">И.И. Резинкина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                                                                                                                                                  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Приложение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к приказу от 26.12.2020г. №7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УТВЕРЖДЕН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приказом председателя Контрольно-счетного отдела 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Левокумского муниципального округа 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Ставропольского края от 26.12.2020г.  №7  </w:t>
      </w: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keepNext/>
        <w:keepLines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</w:t>
      </w:r>
    </w:p>
    <w:p>
      <w:pPr>
        <w:keepNext/>
        <w:keepLines/>
        <w:tabs>
          <w:tab w:val="center" w:pos="7285"/>
          <w:tab w:val="right" w:pos="1457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ПЛАН РАБОТЫ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ab/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Контрольно-счетного отдела Левокумского муниципального округа Ставропольского края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на 2021 год</w:t>
      </w:r>
    </w:p>
    <w:tbl>
      <w:tblPr>
        <w:tblStyle w:val="Style_11"/>
        <w:tblW w:w="14578" w:type="dxa"/>
        <w:tblInd w:w="-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700"/>
        <w:gridCol w:w="6224"/>
        <w:gridCol w:w="2409"/>
        <w:gridCol w:w="2552"/>
        <w:gridCol w:w="2693"/>
      </w:tblGrid>
      <w:tr>
        <w:trPr>
          <w:cantSplit/>
          <w:trHeight w:val="1134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№ п/п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numPr>
                <w:numId w:val="2"/>
                <w:ilvl w:val="0"/>
              </w:numPr>
              <w:tabs>
                <w:tab w:val="left" w:pos="0"/>
              </w:tabs>
              <w:spacing w:before="0" w:after="0" w:line="240" w:lineRule="auto"/>
              <w:ind w:left="0" w:right="0" w:firstLine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Наименование мероприятия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Ответственные за исполнение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Основание для включения мероприятия в план</w:t>
            </w:r>
          </w:p>
        </w:tc>
      </w:tr>
      <w:tr>
        <w:tc>
          <w:tcPr>
            <w:tcW w:w="70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numPr>
                <w:numId w:val="3"/>
                <w:ilvl w:val="0"/>
              </w:numPr>
              <w:spacing w:before="0" w:after="0" w:line="240" w:lineRule="auto"/>
              <w:ind w:left="720" w:right="0" w:hanging="36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Организационные мероприятия</w:t>
            </w:r>
          </w:p>
        </w:tc>
      </w:tr>
      <w:tr>
        <w:trPr>
          <w:trHeight w:val="2078"/>
        </w:trP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 представление годового отчета о деятельности за 2020 год в Совет Левокумского муниципального округа Ставропольского края для его заслушивания и утверждения.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февраль- апрель  2021 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Контрольно-счетного отдела Левокумского муниципального округа Ставропольского края (далее-председатель)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ст.9, ст.20  Положения о Контрольно-счетном отделе Левокумского муниципального округа Ставропольского края (далее –Положение о КСО ЛМО СК, КСО ЛМО СК)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1.2.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 утверждение плана работы на 2022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30 декабря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ст.12 Положения о КСО ЛМО СК;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Стандарт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1.3.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Утверждение квартальных планов работы на 2021 год. </w:t>
            </w:r>
          </w:p>
        </w:tc>
        <w:tc>
          <w:tcPr>
            <w:tcW w:w="2409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01 числа первого месяца соответствующего квартала</w:t>
            </w:r>
          </w:p>
        </w:tc>
        <w:tc>
          <w:tcPr>
            <w:tcW w:w="2552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ст.12 Положения о КСО ЛМО СК;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Стандарт КСО ЛМО СК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1.4.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Представление информации (отчета) о деятельности за 2020 год  в Представительство Союза муниципальных контрольно-счетных органов в Северо-Кавказском федеральном округе (Союза МКСО в СКФО),  Контрольно-счетную палату Ставропольского края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 2021 года, в срок  предоставления отчета;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2021 года по запросам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Письма, указания, запросы Представи-тельства Союза МКСО в СКФО,  Контрольно-счетной палаты Ставропольского края, Стандарт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1.5.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Организация и проведение рабочих совещаний </w:t>
            </w:r>
          </w:p>
        </w:tc>
        <w:tc>
          <w:tcPr>
            <w:tcW w:w="2409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 </w:t>
            </w:r>
          </w:p>
        </w:tc>
        <w:tc>
          <w:tcPr>
            <w:tcW w:w="2552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1.6.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Предоставление  отчета об использовании межбюджетных трансфертов в Совет Левокумского муниципального округа Ставропольского края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20 числа месяца, следующего за отчетным периодом,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20 января 2021 года за 2020 год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Закон Ставропольского края от 31.01.2020 № 10-кз "О преобразовании муниципальных образований, входящих в состав Левокумского муниципального района Ставропольского края, и об организации местного самоуправления на территории Левокумского района Ставропольского края"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работе Совета Левокумского муниципального округа Ставропольского края и его комиссиях, в рабочих совещаниях, проводимых Администрацией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  по плану работы Совета ЛМО СК, Администрации ЛМО СК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19 Положения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1.8.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Рассмотрение запросов и обращений по вопросам, отнесенным к компетенции КСО ЛМО СК.    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 в течение 2021 года при поступлении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КСО ЛМО СК;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02.05.2006г. №59-ФЗ «О порядке рассмотрения обращения граждан РФ»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1.9.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кадровой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соответствии с требованиями действующего законодательства.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ТК РФ; ст.28 Закона 25-ФЗ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1.10.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мероприятий по охране труда и технике безопасности, включая оформление соответствующей документации.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ТК РФ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1.11.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Разработка номенклатуры дел </w:t>
            </w:r>
          </w:p>
        </w:tc>
        <w:tc>
          <w:tcPr>
            <w:tcW w:w="2409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 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 </w:t>
            </w:r>
          </w:p>
        </w:tc>
        <w:tc>
          <w:tcPr>
            <w:tcW w:w="2693" w:type="dxa"/>
            <w:tcBorders>
              <w:left w:val="single" w:color="000000" w:sz="4"/>
              <w:bottom w:val="single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Приказ Росархива, в соответствии с Перечнем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1.12.</w:t>
            </w:r>
          </w:p>
        </w:tc>
        <w:tc>
          <w:tcPr>
            <w:tcW w:w="6224" w:type="dxa"/>
            <w:tcBorders>
              <w:left w:val="single" w:color="000000" w:sz="4"/>
              <w:bottom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архива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1.13.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 документов на хранение в архив.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полугодие 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Федерального закона от 22.10.2004г. №125-ФЗ «Об архивном деле в Российской Федерации»</w:t>
            </w:r>
          </w:p>
        </w:tc>
      </w:tr>
      <w:tr>
        <w:tc>
          <w:tcPr>
            <w:tcW w:w="14578" w:type="dxa"/>
            <w:gridSpan w:val="5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numPr>
                <w:numId w:val="3"/>
                <w:ilvl w:val="0"/>
              </w:numPr>
              <w:spacing w:before="0" w:after="0" w:line="240" w:lineRule="auto"/>
              <w:ind w:left="720" w:right="0" w:hanging="36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Контрольные мероприятия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поручению главы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года, по мере поступления поручений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ст.12 Положения о КСО ЛМО СК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2.2.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поручению Совета Левокумского муниципального округа  Ставропольского края.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года, по мере поступления поручений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ст.12 Положения о КСО ЛМО СК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результативности использования бюджетных средств в 2019-2020 годах, в том числе на осуществление закупочной деятельности по муниципальному казенному общеобразовательному учреждению «Средняя общеобразовательная школа №3» п. Новокумский.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Февраль  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КСО ЛМО СК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 главных администраторов бюджетных  средств  Левокумского муниципального района Ставропольского края за 2020 год.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Март 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ст.264.4 , ст.268.1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законности, эффективности (экономности и результативности) использования бюджетных средств, выделенных на финансовое обеспечение муниципального задания, и средств, полученных от приносящей доход деятельности, соблюдения установленного порядка учета и эффективности использования муниципального имущества за 2019 и 2020 года и 1 квартал 2021 года в  МБУ Левокумского муниципального округа Ставропольского края «Многофункциональный центр  предоставления государственных и муниципальных услуг».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Май-июнь </w:t>
            </w:r>
          </w:p>
          <w:p>
            <w:pPr>
              <w:keepNext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2.6.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законности и результативности использования бюджетных средств, в том числе на осуществление закупочной деятельности в 2019-2020 годах в муниципальном дошкольном образовательном учреждении «Детский сад  общеразвивающего вида с приоритетным осуществлением художественно-эстетического направления в развитии детей №3» с. Левокумское.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Июль 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целевого и эффективного использования бюджетных средств, выделенных на организацию питания в 2019 - 2020 годах и истекшем периоде 2021 года в МКДОУ «Центр развития ребенка- детский сад №22» с. Левокумское.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Август –сентябрь 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2.8.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Проверка  законности и результативности использования бюджетных средств и имущества муниципальным казенным учреждением дополнительного образования  «Детско-юношеская спортивная школа "Ника» в 2019 – 2020 годах.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Сентябрь-октябрь 2021 года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2.9.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контрольных мероприятий по поручению Союза муниципальных контрольно-счетных органов (Союз МКСО).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2021 года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  Положения о КСО ЛМО СК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2.10.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совместных (параллельных) контрольных мероприятий с Контрольно-счетной палатой Ставропольского края.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  Положения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проверок по требованию прокуратуры Левокумского района.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поручения в течение 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«О прокуратуре Российской Федерации» 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Контроль за выполнением представлений (предписаний), предложений, направляемых по результатам проверок руководителям проверенных органов и организаций.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Ст.8,17 Положения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2.13.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рабочих совещаний с представителями объектов контроля по результатам проведенных мероприятий.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hanging="10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течение  2021года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 2 ст. 157 БК РФ;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 8 ч. 2 ст. 9 Закона №6-ФЗ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Анализ информации о результатах выполнения предложений и рекомендаций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2.15.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Взаимодействие с прокуратурой, правоохранительными органами по выявлению и пресечению правонарушений в финансово-бюджетной сфере, направление сведений о проведенных мероприятиях.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года,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случае выявления фактов незаконного использования бюджетных средств  и коррупционных правонарушений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п.8 ст. 16 Закона №6-ФЗ</w:t>
            </w:r>
          </w:p>
        </w:tc>
      </w:tr>
      <w:tr>
        <w:tc>
          <w:tcPr>
            <w:tcW w:w="14578" w:type="dxa"/>
            <w:gridSpan w:val="5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3. Экспертно-аналитическая деятельность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проектов решений и иных нормативных актов, регулирующих бюджетные правоотношения.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 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ч.2.ст157 БК РФ; Положение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3.2.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Финансово-экономическая экспертиза проектов муниципальных правовых актов  в части, касающейся расходных обязательств муниципального округа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3.3.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муниципальных программ Левокумского муниципального округа Ставропольского края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ч.2.ст157 БК РФ; Положение о КСО ЛМО СК</w:t>
            </w:r>
          </w:p>
        </w:tc>
      </w:tr>
      <w:tr>
        <w:tc>
          <w:tcPr>
            <w:tcW w:w="700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3.4.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Экспертиза проектов решений и иных нормативных актов по вопросам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управления  и распоряжения имуществом, находящимся в собственности Левокумского муниципального округа Ставропольского края, вносимых на рассмотрение  Совета Левокумского муниципального округа Ставропольского края и отнесенных к компетенции Контрольно-счетного отдела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течение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года, при поступлении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КСО ЛМО СК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3.5.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Внешняя проверка годового отчета об исполнении бюджета Левокумского муниципального района Ставропольского края за 2020 год  и подготовка заключения.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Апрель 2021 года (до 01.05.2021г.)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264.4 БК РФ;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КСО ЛМО СК</w:t>
            </w:r>
          </w:p>
        </w:tc>
      </w:tr>
      <w:tr>
        <w:trPr>
          <w:trHeight w:val="765"/>
        </w:trP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3.6.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Внешняя проверка годовых отчетов об исполнении бюджетов за 2020 год 11 поселений Левокумского района и подготовка  соответствующих заключений. 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Апрель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264.4 БК РФ;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КСО ЛМО СК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3.7.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Ежеквартальный анализ исполнения бюджета Левокумского муниципального округа Ставропольского края за 2021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квартал 2021 года -май 2021 года;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 полугодие 2021 года-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август- 2021 года;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9 месяцев 2021 года - ноябрь 2021 года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268.1 БК РФ;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 КСО ЛМО СК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3.8.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8fdff"/>
                <w:lang w:val="ru-RU" w:bidi="ru-RU"/>
              </w:rPr>
              <w:t xml:space="preserve">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кспертиза проектов решений Совета Левокумского муниципального округа Ставропольского края «О внесении изменений в  бюджет Левокумского муниципального округа Ставропольского края на 2021 год и  плановый период 2022 и 2023 годов».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в течение 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БК РФ; ст.8 Положения о  КСО ЛМО СК</w:t>
            </w:r>
          </w:p>
        </w:tc>
      </w:tr>
      <w:tr>
        <w:trPr>
          <w:trHeight w:val="871"/>
        </w:trP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Экспертиза проекта решения Совета Левокумского муниципального округа Ставропольского края «О бюджете Левокумского муниципального округа Ставропольского края  на 2022 год и плановый период 2023 и 2024 годов».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Ноябрь-Декабрь 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ч.1 ст.157 БК РФ;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 КСО ЛМО СК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3.10.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Style_42"/>
              <w:spacing w:before="0" w:after="0" w:line="240" w:lineRule="auto"/>
              <w:ind w:left="0" w:right="0" w:firstLine="0"/>
              <w:jc w:val="left"/>
              <w:rPr>
                <w:rStyle w:val="Style_43"/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Style w:val="Style_43"/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Подготовка предложений и проведение экспертизы проектов муниципальных нормативных правовых актов по вопросам совершенствования бюджетного процесса и муниципального финансового контроля.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мере поступления в течение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ч.2 ст.157 БК РФ;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ст.8 Положения о  КСО ЛМО СК 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4. Методическая деятельность.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4.1.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Разработка (внесение изменений)  нормативных актов, стандарты, методический материал, приказы, иную документацию, регламентирующую  деятельность Контрольно-счетного отдела Левокумского муниципального округа Ставропольского края. 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Январь- февраль 2021 года, в течение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ст.11, 13  Положения о КСО ЛМО СК</w:t>
            </w:r>
          </w:p>
        </w:tc>
      </w:tr>
      <w:t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Мероприятия по подготовке и повышению квалификации сотрудников.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года;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при организации обучающих мероприятий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КСО ЛМО СК; 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п.7 ч.1 ст.11 Закона 25-ФЗ «О муниципальной службе в РФ»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Изучение опыта работы КСП СК, КСО субъектов РФ и МО.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 в течение 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КСО ЛМО СК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4.4.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2021 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 7 ч 1 ст. 11 Закона 25-ФЗ</w:t>
            </w:r>
          </w:p>
        </w:tc>
      </w:tr>
      <w:tr>
        <w:tc>
          <w:tcPr>
            <w:tcW w:w="14578" w:type="dxa"/>
            <w:gridSpan w:val="5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ru-RU"/>
              </w:rPr>
              <w:t xml:space="preserve">5. Информационная  и иная деятельность.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информационного материала  о деятельности КСО ЛМО СК для размещения в сети  Интернет на сайте Администрации Левокумского муниципального округа Ставропольского края.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Постоянно,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 по срокам размещения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ст.20 Положения о КСО ЛМО СК;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14 ФЗ от 29.02.2009г.№8-ФЗ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5.2.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Предоставление отчетов и информации  главе Левокумского муниципального округа Ставропольского края, в Совет Левокумского муниципального округа Ставропольского края о результатах контрольных мероприятий и экспертно-аналитических мероприятий.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В течение 2021года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  <w:p>
            <w:pPr>
              <w:keepNext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ст.9, 10  Положения о КСО ЛМО СК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5.3.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Введение информационных систем- системы электронного документооборота при ведении  бухгалтерского учета.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 января 2021 года, весь период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бухгалтер 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06.12.2011 № 402-ФЗ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5.4.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Ведение  электронной базы данных. 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Регламент КСО ЛМО СК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878" w:type="dxa"/>
            <w:gridSpan w:val="4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Иная деятельность. Взаимодействие с другими органами.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5.5.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работе Союза муниципальных контрольно-счетных органов (Союза МКСО) и Союза Контрольно-счетных органов при Контрольно-счетной палате Ставропольского края (СКСО СК).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2021 года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КСО ЛМО СК; планы работы Союзов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5.6.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Взаимодействие с надзорными и контрольными органами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Постоянно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ст.19 Положения о КСО ЛМО СК; планы работы Союзов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Противодействие коррупции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5.7.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заседаний комиссии по соблюдению требований к служебному поведению 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муниципальных служащих, замещающих должности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муниципальной службы в КСО ЛМО СК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2021 года, в случае поступления  материалов в комиссию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секретарь комиссии -инспектор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25 декабря 2008 г. № 273-ФЗ «О противодействии коррупции»,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Положения и состава комиссии 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 соблюдению требований к служебному поведению 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муниципальных служащих, замещающих должности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муниципальной службы в Контрольно-счетном отделе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Левокумского муниципального округа Ставропольского края 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 урегулирования конфликта интересов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5.8.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Заполнение и представление сведений  об адресах сайтов или страниц сайтов в информационно-телекоммуникационной сети Интернет и сведений  о доходах, об имуществе и обязательствах имущественного характера муниципальных служащих за 2020 год.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01.04.2021г.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До 30.04.2021г.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02.03.2007г. № 25-ФЗ «О муниципальной службе в Российской Федерации»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5.9.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мероприятий по противодействию коррупции.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года, в сроки, установленные для исполнения мероприятий, декабрь 2021 года  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КСО ЛМО СК, план мероприятий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5.10.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Участие в мероприятиях, направленных на противодействие коррупции в пределах полномочий КСО ЛМО СК.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 в сроки, установленные для исполнения мероприятий   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инспекторы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Положение о КСО ЛМО СК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5.11.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Подготовка информации о выполнении плана мероприятий по  противодействию коррупции за  2020 год.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Январь 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5.12.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Проведения антикоррупционной экспертизы проектов нормативных правовых актов КСО ЛМО СК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инспектор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ФЗ от 25.12.2008г. №273-ФЗ «О противодействии коррупции»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33" w:type="dxa"/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Style w:val="Style_44"/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Иная деятельность. Материально-техническое обеспечение и бухгалтерский учет.</w:t>
            </w:r>
          </w:p>
        </w:tc>
        <w:tc>
          <w:tcPr>
            <w:tcW w:w="255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5.13.</w:t>
            </w:r>
          </w:p>
        </w:tc>
        <w:tc>
          <w:tcPr>
            <w:tcW w:w="62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Style_42"/>
              <w:spacing w:before="0" w:after="0" w:line="240" w:lineRule="auto"/>
              <w:ind w:left="0" w:right="0" w:firstLine="0"/>
              <w:jc w:val="left"/>
              <w:rPr>
                <w:rStyle w:val="Style_44"/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Style w:val="Style_44"/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Подготовка и организация  исполнения бюджетной сметы. Осуществление  внутреннего  финансового контроля.  </w:t>
            </w:r>
          </w:p>
        </w:tc>
        <w:tc>
          <w:tcPr>
            <w:tcW w:w="24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2021 года </w:t>
            </w:r>
          </w:p>
        </w:tc>
        <w:tc>
          <w:tcPr>
            <w:tcW w:w="255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бухгалтер </w:t>
            </w:r>
          </w:p>
        </w:tc>
        <w:tc>
          <w:tcPr>
            <w:tcW w:w="269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ст.160.2-1 БК РФ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5.14.</w:t>
            </w:r>
          </w:p>
        </w:tc>
        <w:tc>
          <w:tcPr>
            <w:tcW w:w="6224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Осуществление ведения бухгалтерского учета и  делопроизводства. </w:t>
            </w:r>
          </w:p>
        </w:tc>
        <w:tc>
          <w:tcPr>
            <w:tcW w:w="2409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Весь период</w:t>
            </w:r>
          </w:p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2021 года</w:t>
            </w:r>
          </w:p>
        </w:tc>
        <w:tc>
          <w:tcPr>
            <w:tcW w:w="2552" w:type="dxa"/>
            <w:tcBorders>
              <w:top w:val="single" w:sz="4"/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бухгалтер </w:t>
            </w:r>
          </w:p>
        </w:tc>
        <w:tc>
          <w:tcPr>
            <w:tcW w:w="2693" w:type="dxa"/>
            <w:tcBorders>
              <w:top w:val="single" w:sz="4"/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ст.161 БК РФ;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Федеральный закон от 06.12.2011 № 402-ФЗ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5.15.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Проведение инвентаризации. 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Декабрь 2021 года; при производственной необходимости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председатель, бухгалтер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 11 Федерального закона от 06.12.2011 № 402-ФЗ</w:t>
            </w:r>
          </w:p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«О бухгалтерском учете»</w:t>
            </w:r>
          </w:p>
        </w:tc>
      </w:tr>
      <w:tr>
        <w:tc>
          <w:tcPr>
            <w:tcW w:w="700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5.16.</w:t>
            </w:r>
          </w:p>
        </w:tc>
        <w:tc>
          <w:tcPr>
            <w:tcW w:w="6224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pStyle w:val="Style_42"/>
              <w:spacing w:before="0" w:after="0" w:line="240" w:lineRule="auto"/>
              <w:ind w:left="0" w:right="0" w:firstLine="0"/>
              <w:jc w:val="left"/>
              <w:rPr>
                <w:rStyle w:val="Style_44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Style w:val="Style_44"/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Материально-техническое обеспечение.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ar-SA"/>
              </w:rPr>
              <w:t xml:space="preserve">Осуществление закупок товаров, работ и услуг для нужд.</w:t>
            </w:r>
          </w:p>
        </w:tc>
        <w:tc>
          <w:tcPr>
            <w:tcW w:w="2409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hd w:val="clear" w:fill="ffff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течение 2021 года</w:t>
            </w:r>
          </w:p>
        </w:tc>
        <w:tc>
          <w:tcPr>
            <w:tcW w:w="2552" w:type="dxa"/>
            <w:tcBorders>
              <w:left w:val="single" w:color="000000" w:sz="4"/>
              <w:bottom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left w:val="single" w:color="000000" w:sz="4"/>
              <w:bottom w:val="single" w:color="000000" w:sz="4"/>
              <w:right w:val="single" w:color="000000" w:sz="4"/>
            </w:tcBorders>
            <w:shd w:val="nil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  <w:vAlign w:val="top"/>
          </w:tcPr>
          <w:p>
            <w:pPr>
              <w:keepNext/>
              <w:keepLines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ст.72 БК РФ </w:t>
            </w:r>
          </w:p>
        </w:tc>
      </w:tr>
    </w:tbl>
    <w:p>
      <w:pPr>
        <w:keepNext/>
        <w:keepLines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39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</w:p>
    <w:sectPr>
      <w:footnotePr>
        <w:pos w:val="beneathText"/>
      </w:footnotePr>
      <w:type w:val="nextPage"/>
      <w:pgSz w:w="16837" w:h="11905" w:orient="landscape"/>
      <w:pgMar w:top="568" w:right="850" w:bottom="1134" w:left="1701" w:header="720" w:footer="72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StarSymbol">
    <w:panose1 w:val="02000603000000000000"/>
  </w:font>
  <w:font w:name="Symbol">
    <w:panose1 w:val="05010000000000000000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1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2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3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4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5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6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7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8">
      <w:start w:val="1"/>
      <w:numFmt w:val="none"/>
      <w:suff w:val="nothing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</w:abstractNum>
  <w:abstractNum w:abstractNumId="1139497574">
    <w:multiLevelType w:val="hybridMultilevel"/>
    <w:lvl w:ilvl="0">
      <w:start w:val="1"/>
      <w:numFmt w:val="none"/>
      <w:suff w:val="tab"/>
      <w:lvlText w:val="%1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1">
      <w:start w:val="1"/>
      <w:numFmt w:val="none"/>
      <w:suff w:val="tab"/>
      <w:lvlText w:val="%2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2">
      <w:start w:val="1"/>
      <w:numFmt w:val="none"/>
      <w:suff w:val="tab"/>
      <w:lvlText w:val="%3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3">
      <w:start w:val="1"/>
      <w:numFmt w:val="none"/>
      <w:suff w:val="tab"/>
      <w:lvlText w:val="%4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4">
      <w:start w:val="1"/>
      <w:numFmt w:val="none"/>
      <w:suff w:val="tab"/>
      <w:lvlText w:val="%5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5">
      <w:start w:val="1"/>
      <w:numFmt w:val="none"/>
      <w:suff w:val="tab"/>
      <w:lvlText w:val="%6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6">
      <w:start w:val="1"/>
      <w:numFmt w:val="none"/>
      <w:suff w:val="tab"/>
      <w:lvlText w:val="%7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7">
      <w:start w:val="1"/>
      <w:numFmt w:val="none"/>
      <w:suff w:val="tab"/>
      <w:lvlText w:val="%8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  <w:lvl w:ilvl="8">
      <w:start w:val="1"/>
      <w:numFmt w:val="none"/>
      <w:suff w:val="tab"/>
      <w:lvlText w:val="%9"/>
      <w:lvlJc w:val="left"/>
      <w:pPr>
        <w:ind w:left="0"/>
      </w:pPr>
      <w:rPr>
        <w:rFonts w:ascii="Times New Roman" w:hAnsi="Times New Roman" w:eastAsia="Times New Roman" w:cs="Times New Roman"/>
        <w:lang w:val="ru-RU" w:bidi="ru-RU"/>
      </w:rPr>
    </w:lvl>
  </w:abstractNum>
  <w:abstractNum w:abstractNumId="136913740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lang w:val="ru-RU" w:bidi="ru-RU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lang w:val="ru-RU" w:bidi="ru-RU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  <w:lang w:val="ru-RU" w:bidi="ru-RU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  <w:lang w:val="ru-RU" w:bidi="ru-RU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  <w:lang w:val="ru-RU" w:bidi="ru-RU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  <w:lang w:val="ru-RU" w:bidi="ru-RU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  <w:lang w:val="ru-RU" w:bidi="ru-RU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  <w:lang w:val="ru-RU" w:bidi="ru-RU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  <w:lang w:val="ru-RU" w:bidi="ru-RU"/>
      </w:rPr>
    </w:lvl>
  </w:abstractNum>
  <w:num w:numId="1">
    <w:abstractNumId w:val="1"/>
  </w:num>
  <w:num w:numId="2">
    <w:abstractNumId w:val="1139497574"/>
  </w:num>
  <w:num w:numId="3">
    <w:abstractNumId w:val="13691374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0"/>
    <w:footnote w:id="1"/>
  </w:footnotePr>
  <w:endnotePr>
    <w:pos w:val="docEnd"/>
    <w:endnote w:id="0"/>
    <w:endnote w:id="1"/>
  </w:endnotePr>
  <w:compat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ru-RU" w:bidi="ru-RU"/>
      </w:rPr>
    </w:rPrDefault>
    <w:pPrDefault>
      <w:pPr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lang w:val="ru-RU" w:bidi="ru-RU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1">
    <w:name w:val="heading 1"/>
    <w:basedOn w:val="Style_0"/>
    <w:uiPriority w:val="9"/>
    <w:qFormat/>
    <w:pPr>
      <w:keepNext/>
      <w:spacing w:before="240" w:after="60" w:line="240" w:lineRule="auto"/>
      <w:ind w:left="0" w:right="0"/>
      <w:jc w:val="left"/>
      <w:outlineLvl w:val="0"/>
      <w:rPr>
        <w:rFonts w:ascii="Times New Roman" w:hAnsi="Times New Roman" w:eastAsia="Times New Roman" w:cs="Times New Roman"/>
        <w:lang w:val="ru-RU" w:bidi="ru-RU"/>
      </w:rPr>
    </w:pPr>
    <w:rPr>
      <w:rFonts w:ascii="Calibri Light" w:hAnsi="Calibri Light" w:eastAsia="Calibri Light" w:cs="Calibri Light"/>
      <w:b/>
      <w:bCs/>
      <w:sz w:val="32"/>
      <w:szCs w:val="32"/>
      <w:lang w:val="ru-RU" w:bidi="ar-SA"/>
    </w:rPr>
  </w:style>
  <w:style w:type="paragraph" w:styleId="Style_2">
    <w:name w:val="heading 2"/>
    <w:basedOn w:val="Style_0"/>
    <w:uiPriority w:val="9"/>
    <w:qFormat/>
    <w:pPr>
      <w:keepNext/>
      <w:numPr>
        <w:numId w:val="1"/>
        <w:ilvl w:val="1"/>
      </w:numPr>
      <w:tabs>
        <w:tab w:val="left" w:pos="0"/>
      </w:tabs>
      <w:spacing w:before="280" w:after="280" w:line="240" w:lineRule="auto"/>
      <w:ind w:left="0" w:right="0"/>
      <w:jc w:val="center"/>
      <w:outlineLvl w:val="1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b/>
      <w:bCs/>
      <w:sz w:val="36"/>
      <w:szCs w:val="36"/>
      <w:lang w:val="ru-RU" w:bidi="ar-SA"/>
    </w:rPr>
  </w:style>
  <w:style w:type="paragraph" w:styleId="Style_3">
    <w:name w:val="heading 3"/>
    <w:basedOn w:val="Style_0"/>
    <w:uiPriority w:val="9"/>
    <w:unhideWhenUsed/>
    <w:qFormat/>
    <w:pPr>
      <w:keepNext/>
      <w:spacing w:before="240" w:after="60" w:line="240" w:lineRule="auto"/>
      <w:ind w:left="0" w:right="0"/>
      <w:jc w:val="left"/>
      <w:outlineLvl w:val="2"/>
      <w:rPr>
        <w:rFonts w:ascii="Times New Roman" w:hAnsi="Times New Roman" w:eastAsia="Times New Roman" w:cs="Times New Roman"/>
        <w:lang w:val="ru-RU" w:bidi="ru-RU"/>
      </w:rPr>
    </w:pPr>
    <w:rPr>
      <w:rFonts w:ascii="Calibri Light" w:hAnsi="Calibri Light" w:eastAsia="Calibri Light" w:cs="Calibri Light"/>
      <w:b/>
      <w:bCs/>
      <w:sz w:val="26"/>
      <w:szCs w:val="26"/>
      <w:lang w:val="ru-RU" w:bidi="ar-SA"/>
    </w:rPr>
  </w:style>
  <w:style w:type="character" w:styleId="Style_10">
    <w:name w:val="Default Paragraph Font"/>
    <w:uiPriority w:val="1"/>
    <w:semiHidden/>
    <w:rPr>
      <w:rFonts w:ascii="Times New Roman" w:hAnsi="Times New Roman" w:eastAsia="Times New Roman" w:cs="Times New Roman"/>
      <w:sz w:val="24"/>
      <w:szCs w:val="24"/>
      <w:lang w:val="ru-RU" w:bidi="ru-RU"/>
    </w:rPr>
  </w:style>
  <w:style w:type="table" w:styleId="Style_11">
    <w:name w:val="Normal Table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1 Знак"/>
    <w:basedOn w:val="Style_10"/>
    <w:uiPriority w:val="9"/>
    <w:locked/>
    <w:rPr>
      <w:rFonts w:ascii="Calibri Light" w:hAnsi="Calibri Light" w:eastAsia="Calibri Light" w:cs="Calibri Light"/>
      <w:b/>
      <w:bCs/>
      <w:sz w:val="32"/>
      <w:szCs w:val="32"/>
      <w:lang w:bidi="ar-SA"/>
    </w:rPr>
  </w:style>
  <w:style w:type="character" w:styleId="Style_16">
    <w:name w:val="Заголовок 2 Знак"/>
    <w:basedOn w:val="Style_10"/>
    <w:uiPriority w:val="9"/>
    <w:semiHidden/>
    <w:locked/>
    <w:rPr>
      <w:rFonts w:ascii="Calibri Light" w:hAnsi="Calibri Light" w:eastAsia="Calibri Light" w:cs="Calibri Light"/>
      <w:b/>
      <w:bCs/>
      <w:i/>
      <w:iCs/>
      <w:sz w:val="28"/>
      <w:szCs w:val="28"/>
      <w:lang w:bidi="ar-SA"/>
    </w:rPr>
  </w:style>
  <w:style w:type="character" w:styleId="Style_17">
    <w:name w:val="Заголовок 3 Знак"/>
    <w:basedOn w:val="Style_10"/>
    <w:uiPriority w:val="9"/>
    <w:locked/>
    <w:rPr>
      <w:rFonts w:ascii="Calibri Light" w:hAnsi="Calibri Light" w:eastAsia="Calibri Light" w:cs="Calibri Light"/>
      <w:b/>
      <w:bCs/>
      <w:sz w:val="26"/>
      <w:szCs w:val="26"/>
      <w:lang w:bidi="ar-SA"/>
    </w:rPr>
  </w:style>
  <w:style w:type="character" w:styleId="Style_18">
    <w:name w:val="Absatz-Standardschriftart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19">
    <w:name w:val="WW-Absatz-Standardschriftart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0">
    <w:name w:val="WW-Absatz-Standardschriftart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1">
    <w:name w:val="WW-Absatz-Standardschriftart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2">
    <w:name w:val="WW8Num1z0"/>
    <w:uiPriority w:val="0"/>
    <w:rPr>
      <w:rFonts w:ascii="Symbol" w:hAnsi="Symbol" w:eastAsia="Symbol" w:cs="Symbol"/>
      <w:sz w:val="18"/>
      <w:szCs w:val="18"/>
      <w:lang w:val="ru-RU" w:bidi="ru-RU"/>
    </w:rPr>
  </w:style>
  <w:style w:type="character" w:styleId="Style_23">
    <w:name w:val="WW-Absatz-Standardschriftart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4">
    <w:name w:val="WW-Absatz-Standardschriftart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5">
    <w:name w:val="WW-Absatz-Standardschriftart1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6">
    <w:name w:val="WW-Absatz-Standardschriftart11111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7">
    <w:name w:val="Основной шрифт абзаца1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8">
    <w:name w:val="Символ нумерации"/>
    <w:uiPriority w:val="0"/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9">
    <w:name w:val="Маркеры списка"/>
    <w:uiPriority w:val="0"/>
    <w:rPr>
      <w:rFonts w:ascii="StarSymbol" w:hAnsi="StarSymbol" w:eastAsia="StarSymbol" w:cs="StarSymbol"/>
      <w:sz w:val="18"/>
      <w:szCs w:val="18"/>
      <w:lang w:val="ru-RU" w:bidi="ru-RU"/>
    </w:rPr>
  </w:style>
  <w:style w:type="paragraph" w:styleId="Style_30">
    <w:name w:val="Заголовок"/>
    <w:basedOn w:val="Style_0"/>
    <w:uiPriority w:val="0"/>
    <w:pPr>
      <w:keepNext/>
      <w:spacing w:before="24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Arial" w:hAnsi="Arial" w:eastAsia="Arial" w:cs="Arial"/>
      <w:sz w:val="28"/>
      <w:szCs w:val="28"/>
      <w:lang w:val="ru-RU" w:bidi="ar-SA"/>
    </w:rPr>
  </w:style>
  <w:style w:type="paragraph" w:styleId="Style_31">
    <w:name w:val="Body Text"/>
    <w:basedOn w:val="Style_0"/>
    <w:semiHidden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Style_32">
    <w:name w:val="Основной текст Знак"/>
    <w:basedOn w:val="Style_10"/>
    <w:semiHidden/>
    <w:locked/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_33">
    <w:name w:val="List"/>
    <w:basedOn w:val="Style_31"/>
    <w:semiHidden/>
    <w:pPr>
      <w:spacing w:before="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4">
    <w:name w:val="Название1"/>
    <w:basedOn w:val="Style_0"/>
    <w:uiPriority w:val="0"/>
    <w:pPr>
      <w:spacing w:before="120" w:after="12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i/>
      <w:iCs/>
      <w:sz w:val="24"/>
      <w:szCs w:val="24"/>
      <w:lang w:val="ru-RU" w:bidi="ar-SA"/>
    </w:rPr>
  </w:style>
  <w:style w:type="paragraph" w:styleId="Style_35">
    <w:name w:val="Указатель1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6">
    <w:name w:val="Содержимое таблицы"/>
    <w:basedOn w:val="Style_0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37">
    <w:name w:val="Заголовок таблицы"/>
    <w:basedOn w:val="Style_36"/>
    <w:uiPriority w:val="0"/>
    <w:pPr>
      <w:spacing w:before="0" w:after="0" w:line="240" w:lineRule="auto"/>
      <w:ind w:left="0" w:right="0"/>
      <w:jc w:val="center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ar-SA"/>
    </w:rPr>
  </w:style>
  <w:style w:type="paragraph" w:styleId="Style_38">
    <w:name w:val="ConsNonformat"/>
    <w:uiPriority w:val="0"/>
    <w:pPr>
      <w:spacing w:before="0" w:after="0" w:line="240" w:lineRule="auto"/>
      <w:ind w:left="0" w:right="19772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ourier New" w:hAnsi="Courier New" w:eastAsia="Courier New" w:cs="Courier New"/>
      <w:sz w:val="20"/>
      <w:szCs w:val="20"/>
      <w:lang w:val="ru-RU" w:bidi="ar-SA"/>
    </w:rPr>
  </w:style>
  <w:style w:type="paragraph" w:styleId="Style_39">
    <w:name w:val="Normal (Web)"/>
    <w:basedOn w:val="Style_0"/>
    <w:pPr>
      <w:spacing w:before="280" w:after="119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paragraph" w:styleId="Style_40">
    <w:name w:val="Balloon Text"/>
    <w:basedOn w:val="Style_0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Segoe UI" w:hAnsi="Segoe UI" w:eastAsia="Segoe UI" w:cs="Segoe UI"/>
      <w:sz w:val="18"/>
      <w:szCs w:val="18"/>
      <w:lang w:val="ru-RU" w:bidi="ar-SA"/>
    </w:rPr>
  </w:style>
  <w:style w:type="character" w:styleId="Style_41">
    <w:name w:val="Текст выноски Знак"/>
    <w:basedOn w:val="Style_10"/>
    <w:semiHidden/>
    <w:locked/>
    <w:rPr>
      <w:rFonts w:ascii="Segoe UI" w:hAnsi="Segoe UI" w:eastAsia="Segoe UI" w:cs="Segoe UI"/>
      <w:sz w:val="18"/>
      <w:szCs w:val="18"/>
      <w:lang w:bidi="ar-SA"/>
    </w:rPr>
  </w:style>
  <w:style w:type="paragraph" w:styleId="Style_42">
    <w:name w:val="No Spacing"/>
    <w:uiPriority w:val="1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Style_43">
    <w:name w:val="Strong"/>
    <w:basedOn w:val="Style_10"/>
    <w:uiPriority w:val="22"/>
    <w:qFormat/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character" w:styleId="Style_44">
    <w:name w:val="Subtle Emphasis"/>
    <w:basedOn w:val="Style_10"/>
    <w:uiPriority w:val="19"/>
    <w:qFormat/>
    <w:rPr>
      <w:rFonts w:ascii="Times New Roman" w:hAnsi="Times New Roman" w:eastAsia="Times New Roman" w:cs="Times New Roman"/>
      <w:i/>
      <w:iCs/>
      <w:color w:val="404040"/>
      <w:sz w:val="24"/>
      <w:szCs w:val="24"/>
      <w:lang w:val="ru-RU" w:bidi="ru-RU"/>
    </w:rPr>
  </w:style>
  <w:style w:type="paragraph" w:styleId="Style_45">
    <w:name w:val="footnote text"/>
    <w:basedOn w:val="Style_0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46">
    <w:name w:val="Текст сноски Знак"/>
    <w:basedOn w:val="Style_10"/>
    <w:semiHidden/>
    <w:locked/>
    <w:rPr>
      <w:rFonts w:ascii="Times New Roman" w:hAnsi="Times New Roman" w:eastAsia="Times New Roman" w:cs="Times New Roman"/>
      <w:sz w:val="24"/>
      <w:szCs w:val="24"/>
    </w:rPr>
  </w:style>
  <w:style w:type="character" w:styleId="Style_47">
    <w:name w:val="footnote reference"/>
    <w:basedOn w:val="Style_10"/>
    <w:semiHidden/>
    <w:unhideWhenUsed/>
    <w:rPr>
      <w:rFonts w:ascii="Times New Roman" w:hAnsi="Times New Roman" w:eastAsia="Times New Roman" w:cs="Times New Roman"/>
      <w:sz w:val="24"/>
      <w:szCs w:val="24"/>
      <w:vertAlign w:val="superscript"/>
      <w:lang w:val="ru-RU" w:bidi="ru-RU"/>
    </w:rPr>
  </w:style>
  <w:style w:type="character" w:styleId="Style_48">
    <w:name w:val="Hyperlink"/>
    <w:basedOn w:val="Style_10"/>
    <w:unhideWhenUsed/>
    <w:rPr>
      <w:rFonts w:ascii="Times New Roman" w:hAnsi="Times New Roman" w:eastAsia="Times New Roman" w:cs="Times New Roman"/>
      <w:color w:val="0563c1"/>
      <w:sz w:val="24"/>
      <w:szCs w:val="24"/>
      <w:u w:val="single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haractersWithSpaces>15270</CharactersWithSpaces>
  <DocSecurity>0</DocSecurity>
  <HyperlinksChanged>false</HyperlinksChanged>
  <LinksUpToDate>false</LinksUpToDate>
  <Pages>11</Pages>
  <ScaleCrop>false</ScaleCrop>
  <SharedDoc>false</SharedDoc>
  <TotalTime>440</TotalTime>
  <Words>2678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отдел</dc:title>
  <dc:creator>789</dc:creator>
  <cp:lastModifiedBy/>
</cp:coreProperties>
</file>