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29"/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Контрольно-счетный отдел</w:t>
      </w:r>
    </w:p>
    <w:p>
      <w:pPr>
        <w:pStyle w:val="Style_29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Левокумского муниципального округа</w:t>
      </w:r>
    </w:p>
    <w:p>
      <w:pPr>
        <w:pStyle w:val="Style_29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Ставропольского края</w:t>
      </w:r>
    </w:p>
    <w:p>
      <w:pPr>
        <w:pStyle w:val="Style_29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  <w:t xml:space="preserve"> </w:t>
      </w: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val="ru-RU" w:bidi="ar-SA"/>
        </w:rPr>
        <w:t xml:space="preserve">ПРИКАЗ</w:t>
      </w: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hd w:val="clear" w:fill="ffffff"/>
        <w:spacing w:before="0" w:after="0" w:line="240" w:lineRule="auto"/>
        <w:ind w:left="0" w:right="0" w:hanging="15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«07» февраля 2023 года               с. Левокумское                                             № 5                                                                                                          </w:t>
      </w: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</w:p>
    <w:p>
      <w:pP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pStyle w:val="Style_36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О внесении изменений в план работы </w:t>
      </w:r>
    </w:p>
    <w:p>
      <w:pPr>
        <w:pStyle w:val="Style_36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Контрольно-счетного отдела</w:t>
      </w:r>
    </w:p>
    <w:p>
      <w:pPr>
        <w:pStyle w:val="Style_36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Левокумского муниципального округа </w:t>
      </w:r>
    </w:p>
    <w:p>
      <w:pPr>
        <w:pStyle w:val="Style_36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Ставропольского края на 2023 год </w:t>
      </w:r>
    </w:p>
    <w:p>
      <w:pPr>
        <w:pStyle w:val="Style_36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pStyle w:val="Style_36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pStyle w:val="Style_36"/>
        <w:spacing w:before="0" w:after="0" w:line="240" w:lineRule="atLeast"/>
        <w:ind w:left="0" w:right="0" w:firstLine="675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В соответствии с предложением главы Левокумского муниципального округа Ставропольского края от 01.02.2023г., руководствуясь статьями 8, 11 «Положения о Контрольно-счетном отделе Левокумского муниципального округа Ставропольского края», утвержденного решением Совета Левокумского муниципального округа Ставропольского края от 19.11.2020г. №46 (в редакции, утвержденной решением Совета Левокумского муниципального округа Ставропольского края от 07.10.2021г. №183), пунктом 6.2. Стандарта организации деятельности Контрольно-счетного отдела Левокумского муниципального округа Ставропольского края «Порядок планирования работы Контрольно-счетного отдела Левокумского муниципального округа Ставропольского края», утвержденного</w:t>
      </w:r>
      <w:r>
        <w:rPr>
          <w:rFonts w:ascii="Times New Roman" w:hAnsi="Times New Roman" w:eastAsia="Times New Roman" w:cs="Times New Roman"/>
          <w:b/>
          <w:bCs/>
          <w:caps/>
          <w:color w:val="000000"/>
          <w:sz w:val="28"/>
          <w:szCs w:val="28"/>
          <w:lang w:val="ru-RU" w:bidi="ar-SA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приказом от 02.12.2020г. №5 ( с учетом изменений, утвержденных приказом председателя Контрольно-счетного отдела Левокумского муниципального округа Ставропольского края  от 29.10.2021г. № 65) </w:t>
      </w:r>
    </w:p>
    <w:p>
      <w:pPr>
        <w:pStyle w:val="Style_36"/>
        <w:spacing w:before="0" w:after="0" w:line="240" w:lineRule="atLeast"/>
        <w:ind w:left="0" w:right="0" w:firstLine="0"/>
        <w:jc w:val="both"/>
        <w:rPr>
          <w:rFonts w:ascii="Courier New" w:hAnsi="Courier New" w:eastAsia="Courier New" w:cs="Courier New"/>
          <w:sz w:val="28"/>
          <w:szCs w:val="28"/>
          <w:lang w:val="ru-RU" w:bidi="ar-SA"/>
        </w:rPr>
      </w:pPr>
    </w:p>
    <w:p>
      <w:pPr>
        <w:spacing w:before="0" w:after="0" w:line="240" w:lineRule="atLeast"/>
        <w:ind w:left="675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ПРИКАЗЫВАЮ:</w:t>
      </w:r>
    </w:p>
    <w:p>
      <w:pPr>
        <w:spacing w:before="0" w:after="0" w:line="240" w:lineRule="atLeast"/>
        <w:ind w:left="675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pStyle w:val="Style_37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1. Внести изменения в приказ председателя Контрольно-счетного отдела Левокумского муниципального округа Ставропольского края от 28.12.2022г. № 32 «Об утверждении плана работы Контрольно-счетного отдела Левокумского муниципального округа Ставропольского края на 2023 год», изложив Приложение к нему в новой редакции, согласно Приложению к настоящему приказу.</w:t>
      </w:r>
    </w:p>
    <w:p>
      <w:pPr>
        <w:pStyle w:val="Style_36"/>
        <w:spacing w:before="12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2. Ознакомить с настоящим приказом инспекторов Контрольно-счетного отдела Левокумского муниципального округа Ставропольского края.</w:t>
      </w:r>
    </w:p>
    <w:p>
      <w:pPr>
        <w:pStyle w:val="Style_40"/>
        <w:spacing w:before="12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3. Настоящий приказ вступает в силу со дня его подписания.</w:t>
      </w:r>
    </w:p>
    <w:p>
      <w:pPr>
        <w:pStyle w:val="Style_36"/>
        <w:spacing w:before="120" w:after="0" w:line="240" w:lineRule="auto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4. Контроль за исполнением настоящего приказа оставляю за собой.  </w:t>
      </w:r>
    </w:p>
    <w:p>
      <w:pPr>
        <w:pStyle w:val="Style_29"/>
        <w:spacing w:before="0" w:after="0" w:line="240" w:lineRule="auto"/>
        <w:ind w:left="0" w:right="0" w:firstLine="15"/>
        <w:jc w:val="both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pacing w:before="0" w:after="0" w:line="240" w:lineRule="auto"/>
        <w:ind w:left="0" w:right="-285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pacing w:before="0" w:after="0" w:line="240" w:lineRule="auto"/>
        <w:ind w:left="0" w:right="-285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Председатель</w:t>
      </w:r>
    </w:p>
    <w:p>
      <w:pPr>
        <w:pStyle w:val="Style_29"/>
        <w:spacing w:before="0" w:after="0" w:line="240" w:lineRule="auto"/>
        <w:ind w:left="360" w:right="0" w:hanging="323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Контрольно-счетного отдела</w:t>
      </w:r>
    </w:p>
    <w:p>
      <w:pPr>
        <w:pStyle w:val="Style_29"/>
        <w:spacing w:before="0" w:after="0" w:line="240" w:lineRule="auto"/>
        <w:ind w:left="360" w:right="0" w:hanging="335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Левокумского муниципального округа</w:t>
      </w:r>
    </w:p>
    <w:p>
      <w:pPr>
        <w:pStyle w:val="Style_29"/>
        <w:spacing w:before="0" w:after="0" w:line="240" w:lineRule="auto"/>
        <w:ind w:left="360" w:right="0" w:hanging="335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sectPr>
          <w:footnotePr>
            <w:pos w:val="beneathText"/>
          </w:footnotePr>
          <w:type w:val="nextColumn"/>
          <w:pgSz w:w="11905" w:h="16837"/>
          <w:pgMar w:top="1134" w:right="850" w:bottom="1134" w:left="1701" w:header="720" w:footer="720" w:gutter="0"/>
          <w:cols w:num="1" w:space="720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Ставропольского края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И.И. Резинкина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Приложение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 приказу председателя Контрольно-счетного отдела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Левокумского муниципального округа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Ставропольского края от 07.02.2023г. № 5  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УТВЕРЖДЕН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приказом председателя Контрольно-счетного отдела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Левокумского муниципального округа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Ставропольского края от 28.12.2022г. № 32  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tabs>
          <w:tab w:val="center" w:pos="7285"/>
          <w:tab w:val="right" w:pos="1457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ab/>
      </w:r>
    </w:p>
    <w:p>
      <w:pPr>
        <w:keepNext/>
        <w:tabs>
          <w:tab w:val="center" w:pos="7285"/>
          <w:tab w:val="right" w:pos="14570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ПЛАН РАБОТЫ</w:t>
      </w:r>
    </w:p>
    <w:p>
      <w:pPr>
        <w:keepNext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Контрольно-счетного отдела Левокумского муниципального округа Ставропольского края</w:t>
      </w:r>
    </w:p>
    <w:p>
      <w:pPr>
        <w:keepNext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на 2023 год (в редакции приказа от 07.02.2023г. №5)</w:t>
      </w:r>
    </w:p>
    <w:p>
      <w:pPr>
        <w:keepNext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tbl>
      <w:tblPr>
        <w:tblStyle w:val="Style_11"/>
        <w:tblW w:w="14578" w:type="dxa"/>
        <w:tblInd w:w="-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700"/>
        <w:gridCol w:w="6224"/>
        <w:gridCol w:w="2409"/>
        <w:gridCol w:w="2552"/>
        <w:gridCol w:w="2693"/>
      </w:tblGrid>
      <w:tr>
        <w:trPr>
          <w:cantSplit/>
          <w:trHeight w:val="1134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№ п/п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numPr>
                <w:numId w:val="2"/>
                <w:ilvl w:val="0"/>
              </w:numPr>
              <w:tabs>
                <w:tab w:val="left" w:pos="0"/>
              </w:tabs>
              <w:spacing w:before="0" w:after="0" w:line="240" w:lineRule="auto"/>
              <w:ind w:left="0" w:right="0" w:firstLine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Наименование мероприятия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Ответственные за исполнение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Основание для включения мероприятия в план</w:t>
            </w:r>
          </w:p>
        </w:tc>
      </w:tr>
      <w:tr>
        <w:tc>
          <w:tcPr>
            <w:tcW w:w="7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numPr>
                <w:numId w:val="3"/>
                <w:ilvl w:val="0"/>
              </w:numPr>
              <w:spacing w:before="0" w:after="0" w:line="240" w:lineRule="auto"/>
              <w:ind w:left="720" w:right="0" w:hanging="36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Организационные мероприятия</w:t>
            </w:r>
          </w:p>
        </w:tc>
      </w:tr>
      <w:tr>
        <w:trPr>
          <w:trHeight w:val="2078"/>
        </w:trP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 представление годового отчета о деятельности Контрольно-счетного отдела Левокумского муниципального округа Ставропольского края за 2022 год в Совет Левокумского муниципального округа для его заслушивания и утверждения.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(далее по тексту плана - Контрольно-счетный отдел)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февраль- апрель  2023  года по плану Совета Левокумского муниципального округа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ст.14, 20  Положения о Контрольно-счетном отделе Левокумского муниципального округа Ставропольского края (далее –Положение о Контрольно-счетном отделе)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1.2.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 утверждение плана работы на 2024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30 декабря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ст.11,14 Положения о Контрольно-счетном отделе;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Стандарт Контрольно-счетного отдела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Утверждение квартальных планов работы на 2023 год.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01 числа первого месяца соответствующего квартала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 Положения о Контрольно-счетном отделе;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Стандарт Контрольно-счетного отдела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Представление информации (отчета) о деятельности за 2022 год в Представительство Союза муниципальных контрольно-счетных органов в Северо-Кавказском федеральном округе (Союза МКСО в СКФО), Контрольно-счетную палату Ставропольского края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 2023 года, в срок  предоставления отчета;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 по запросам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Письма, указания, запросы Представи-тельства Союза МКСО в СКФО,  Контрольно-счетной палаты Ставропольского края, Стандарт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1.5.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Организация и проведение рабочих совещаний </w:t>
            </w:r>
          </w:p>
        </w:tc>
        <w:tc>
          <w:tcPr>
            <w:tcW w:w="2409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</w:t>
            </w:r>
          </w:p>
        </w:tc>
        <w:tc>
          <w:tcPr>
            <w:tcW w:w="2552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работе Совета Левокумского муниципального округа Ставропольского края и его комиссиях, в рабочих совещаниях, проводимых администрацией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 по плану работы Совета Левокумского муниципального округа, администрации Левокумского муниципального округа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14,15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1.7.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Рассмотрение запросов и обращений по вопросам, отнесенным к компетенции Контрольно-счетного отдела.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 в течение 2023 года при поступлении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02.05.2006г. №59-ФЗ «О порядке рассмотрения обращения граждан РФ»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кадровой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соответствии с требованиями действующего законодательства.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ТК РФ; ст.28 Закона 25-ФЗ «О муниципальной службе в РФ»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мероприятий по охране труда и технике безопасности, включая оформление соответствующей документации.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ТК РФ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1.10.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архива Контрольно-счетного отдела.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 </w:t>
            </w:r>
          </w:p>
        </w:tc>
      </w:tr>
      <w:tr>
        <w:tc>
          <w:tcPr>
            <w:tcW w:w="14578" w:type="dxa"/>
            <w:gridSpan w:val="5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numPr>
                <w:numId w:val="3"/>
                <w:ilvl w:val="0"/>
              </w:numPr>
              <w:spacing w:before="0" w:after="0" w:line="240" w:lineRule="auto"/>
              <w:ind w:left="720" w:right="0" w:hanging="36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Контрольные мероприятия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предложению главы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по мере поступления предложений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hanging="1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2.1.1.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финансового-хозяйственной деятельности муниципального унитарного предприятия Левокумского муниципального округа Ставропольского края «Коммунбыт» за 2022 год.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включена  приказом  от 07.02.2023г. №5)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Февраль-март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ст.8,11 Положения о Контрольно-счетном отделе  </w:t>
            </w:r>
          </w:p>
        </w:tc>
      </w:tr>
      <w:tr>
        <w:trPr>
          <w:trHeight w:val="569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поручению Совета Левокумского муниципального округа Ставропольского края.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по мере поступления поручений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 xml:space="preserve"> Проверка целевого и эффективного использования бюджетных средств, предусмотренных в бюджете Левокумского муниципального округа Ставропольского края в 2021-2022 годах на реализацию муниципальной программы «Обеспечение общественной безопасности».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Январь-Февраль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2.4.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 xml:space="preserve">Проверка финансово-хозяйственной деятельности муниципального автономного образовательного учреждения дополнительного профессионального образования «Межхозяйственный учебно-курсовой комбинат «Левокумский» за 2022 год с целью проверки  устранения нарушений в работе учреждения.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 xml:space="preserve">перенесена  приказом от 07.02.2023г. №5 на сентябрь месяц 2023 года)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Февраль-март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 главных администраторов бюджетных  средств  Левокумского муниципального округа Ставропольского края за 2022 год.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Март- апрель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ст.264.4 , ст.268.1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эффективности использования бюджетных средств, выделенных в 2021-2022 годах и первом квартале 2023 года муниципальному бюджетному  учреждению  дополнительного образования «Оздоровительно-образовательный центр «Светлячок» Левокумского муниципального округа Ставропольского края, с элементами аудита в сфере закупок товаров, работ и услуг, а также соблюдения установленного порядка управления и распоряжения имуществом, находящимся в муниципальной собственности округа.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Май-июнь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 Проверка законности, результативности (эффективности и экономности) использования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бюджетных средств, выделенных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в 2021-2022 годах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1 квартале 2023 года Урожайненскому территориальному отделу администрации Левокумского муниципального округа Ставропольского края,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а также аудит в сфере закупок товаров, работ, услуг для муниципальных нужд (кроме средств на дорожную деятельность).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Июль –август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эффективности использования средств, предусмотренных на реализацию регионального проекта «Успех каждого ребенка» национального проекта «Образование» в 2021-2022 годах в МКУ СОШ № 3 поселок Новокумский, МКУ СОШ №4 село Правокумское, МКУ СОШ № 10 село Владимировка.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Август-Сентябрь 2023 года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2.9.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Проверка финансово-хозяйственной деятельности муниципального автономного образовательного учреждения дополнительного профессионального образования «Межхозяйственный учебно-курсовой комбинат «Левокумский» за 2022 год с целью проверки  устранения нарушений в работе учреждения.</w:t>
            </w:r>
          </w:p>
          <w:p>
            <w:pPr>
              <w:keepNext/>
              <w:shd w:val="clear" w:fill="ffffff"/>
              <w:spacing w:before="12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(перенесена с февраля-марта 2023 года на сентябрь 2023 года приказом от 07.02.2023г. №5)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Сентябрь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 17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2.10.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эффективности использования средств на реализацию проектов развития территорий муниципальных образований, основанных на местных инициативах «Благоустройство парковой зоны села Владимировка Левокумского муниципального округа Ставропольского края».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Сентябрь 2023 гола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предоставления и расходования бюджетных средств, в том числе законности, целесообразности, обоснованности и эффективности расходов на дорожное хозяйство за 2021-2022 годы.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Октябрь-ноябрь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контрольных мероприятий по поручению Союза муниципальных контрольно-счетных органов (Союз МКСО).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2023 года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  Положения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совместных (параллельных) контрольных мероприятий с Контрольно-счетной палатой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 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требованию прокуратуры Левокумского района.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«О прокуратуре Российской Федерации»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Контроль за выполнением представлений (предписаний), предложений, направляемых по результатам проверок руководителям проверенных органов и организаций.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ст.8,17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рабочих совещаний с представителями объектов контроля по результатам проведенных мероприятий.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hanging="10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течение  2023года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 2 ст. 157 БК РФ;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 8 ч. 2 ст. 9 Закона №6-ФЗ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Анализ информации о результатах выполнения предложений и рекомендаций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Взаимодействие с прокуратурой, правоохранительными органами по выявлению и пресечению правонарушений в финансово-бюджетной сфере, направление сведений о проведенных мероприятиях.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года,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случае выявления фактов незаконного использования бюджетных средств  и коррупционных правонарушений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п.8 ст. 16 Закона №6-ФЗ, ст.17,19 Положения о Контрольно-счетном отделе</w:t>
            </w:r>
          </w:p>
        </w:tc>
      </w:tr>
      <w:tr>
        <w:tc>
          <w:tcPr>
            <w:tcW w:w="14578" w:type="dxa"/>
            <w:gridSpan w:val="5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3. Экспертно-аналитическая деятельность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Анализ и мониторинг бюджетного процесса в Левокумском муниципальном округе Ставропольского края, в том числе подготовка предложений по устранению выявленных отклонений в бюджетном процессе. 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ч.2.ст157 БК РФ; 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3.2.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проектов муниципальных правовых актов в части, касающейся расходных обязательств Левокумского муниципального округа Ставропольского края.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3.3.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проектов муниципальных правовых актов, приводящих к изменению доходов местного бюджета.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3.4.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муниципальных программ (проектов муниципальных программ)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ч.2.ст157 БК РФ; Положение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3.5.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  <w:t xml:space="preserve">Оценки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отдела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поступлении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3.8.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Внешняя проверка годового отчета об исполнении бюджета Левокумского муниципального округа Ставропольского края за 2022 год.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Апрель 2023 года (до 01.05.2023г.)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264.4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Ежеквартальный анализ исполнения и контроля за организацией исполнения бюджета Левокумского муниципального округа Ставропольского края за 2023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квартал 2023 года -май 2023 года;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полугодие 2023 года-август 2023 года;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9 месяцев 2023 года - ноябрь 2023 года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268.1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3.10.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8fdff"/>
                <w:lang w:val="ru-RU" w:bidi="ru-RU"/>
              </w:rPr>
              <w:t xml:space="preserve">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кспертиза проектов решений Совета Левокумского муниципального округа Ставропольского края «О внесении изменений в бюджет Левокумского муниципального округа Ставропольского края на 2023 год и  плановый период 2024 и 2025 годов».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поступлении в течение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БК РФ; ст.8 Положения о  Контрольно-счетном отделе </w:t>
            </w:r>
          </w:p>
        </w:tc>
      </w:tr>
      <w:tr>
        <w:trPr>
          <w:trHeight w:val="871"/>
        </w:trP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Экспертиза проекта решения Совета Левокумского муниципального округа Ставропольского края «О бюджете Левокумского муниципального округа Ставропольского края  на 2024 год и плановый период 2025 и 2026 годов», обоснованности его показателей. 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Ноябрь-Декабрь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ч.1 ст.157 БК РФ; ст.8 Положения о 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4. Методическая деятельность.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Разработка, актуализация (внесение изменений)  нормативных актов, стандартов, методического материала,  иной документации, регламентирующей  деятельность Контрольно-счетного отдела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Январь- февраль, в течение 2023 года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ст.10, 12 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Мероприятия по подготовке и повышению квалификации сотрудников.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года;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организации обучающих мероприятий в округе, краевые обучающие семинары, Союза МКСО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п.7 ч.1 ст.11 Закона 25-ФЗ «О муниципальной службе в РФ»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Изучение опыта работы КСП СК, КСО субъектов РФ и МО.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 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Мероприятия по внутреннему обучению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 7 ч 1 ст. 11 Закона 25-ФЗ «О муниципальной службе в РФ»</w:t>
            </w:r>
          </w:p>
        </w:tc>
      </w:tr>
      <w:tr>
        <w:tc>
          <w:tcPr>
            <w:tcW w:w="14578" w:type="dxa"/>
            <w:gridSpan w:val="5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5. Информационная  и иная деятельность.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информационного материала о деятельности Контрольного отдела для размещения в сети Интернет на сайте администрации Левокумского муниципального округа Ставропольского края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по срокам размещения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ст.20 Положения о Контрольно-счетном отделе;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14 ФЗ от 29.02.2009г.№8-ФЗ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Предоставление главе Левокумского муниципального округа, в Совет Левокумского муниципального округа  результатов контрольных и экспертно-аналитических мероприятий, ежеквартальной информации о ходе исполнения местного бюджета.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течение 2023 года после завершения мероприятия и утверждения результатов проведенных мероприятий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 14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информации, ответов на запросы органов местного самоуправления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5.4.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Введение системы электронного документооборота при ведении бухгалтерского учета.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старший бухгалтер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06.12.2011 № 402-ФЗ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5.5.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электронной базы данных Контрольно-счетного отдела 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Иная деятельность. Взаимодействие с другими органами.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работе Союза муниципальных контрольно-счетных органов и Союза Контрольно-счетных органов при Контрольно-счетной палате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Контрольно-счетном отделе; планы работы Союзов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Взаимодействие с надзорными и контрольными органами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Контрольно-счетном отделе; планы работы Союзов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Противодействие коррупции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заседаний комиссии по соблюдению требований к служебному поведению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муниципальных служащих, замещающих должности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муниципальной службы в Контрольно-счетном отделе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случае поступления  материалов в комиссию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секретарь комиссии -инспектор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25 декабря 2008 г. № 273-ФЗ «О противодействии коррупции»,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Положения и состава комиссии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соблюдению требований к служебному поведению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муниципальных служащих, замещающих должности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муниципальной службы в Контрольно-счетном отделе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Левокумского муниципального округа Ставропольского края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 урегулирования конфликта интересов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Заполнение и представление сведений об адресах сайтов или страниц сайтов в информационно-телекоммуникационной сети Интернет и сведений о доходах, об имуществе и обязательствах имущественного характера муниципальных служащих за 2022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01.04.2023г.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30.04.2023г.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председателю по срокам предоставления  Губернатору Ставропольского края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02.03.2007г. № 25-ФЗ «О муниципальной службе в Российской Федерации»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5.10.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мероприятий по противодействию коррупции по плану мероприятий в Контрольно-счетном отделе.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сроки, установленные для исполнения мероприятий по плану в течение 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отделе, план мероприятий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мероприятиях, направленных на противодействие коррупции в пределах полномочий Контрольно-счетного отдела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в сроки, установленные для исполнения мероприятий   органов местного самоуправления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5.12.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информации о выполнении плана мероприятий по противодействию коррупции за 2022 год.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до 10 января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Проведения антикоррупционной экспертизы проектов нормативных правовых актов Контрольно-счетного отдела.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при подготовке проектов для утверждения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404040"/>
                <w:sz w:val="24"/>
                <w:szCs w:val="24"/>
                <w:lang w:val="ru-RU" w:bidi="ar-SA"/>
              </w:rPr>
              <w:t xml:space="preserve">Иная деятельность. Материально-техническое обеспечение и бухгалтерский учет.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Организация  исполнения бюджетной сметы, осуществление  контроля за ее исполнением.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старший бухгалтер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ст.160.2-1 БК РФ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Осуществление ведения бухгалтерского учета и  делопроизводства.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старший бухгалтер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ст.161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06.12.2011 № 402-ФЗ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5.16.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инвентаризации.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Декабрь 2023 года; при производственной необходимости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комиссия Контрольно-счетного отдела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11 Федерального закона от 06.12.2011 № 402-ФЗ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5.17.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Материально-техническое обеспечение. 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Осуществление закупок товаров, работ и услуг для нужд, Соблюдение законодательства при осуществлении закупок.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ст.72 БК РФ </w:t>
            </w:r>
          </w:p>
        </w:tc>
      </w:tr>
    </w:tbl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                                                                                                                                                          </w:t>
      </w:r>
    </w:p>
    <w:sectPr>
      <w:footnotePr>
        <w:pos w:val="beneathText"/>
      </w:footnotePr>
      <w:type w:val="nextPage"/>
      <w:pgSz w:w="16837" w:h="11905" w:orient="landscape"/>
      <w:pgMar w:top="142" w:right="1134" w:bottom="850" w:left="1134" w:header="720" w:footer="72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separator/>
      </w:r>
    </w:p>
  </w:endnote>
  <w:endnote w:type="continuationSeparator" w:id="1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StarSymbol">
    <w:panose1 w:val="02000603000000000000"/>
  </w:font>
  <w:font w:name="Symbol">
    <w:panose1 w:val="05010000000000000000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separator/>
      </w:r>
    </w:p>
  </w:footnote>
  <w:footnote w:type="continuationSeparator" w:id="1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1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2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3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4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5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6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7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8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</w:abstractNum>
  <w:abstractNum w:abstractNumId="1139497574">
    <w:multiLevelType w:val="hybridMultilevel"/>
    <w:lvl w:ilvl="0">
      <w:start w:val="1"/>
      <w:numFmt w:val="none"/>
      <w:suff w:val="tab"/>
      <w:lvlText w:val="%1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1">
      <w:start w:val="1"/>
      <w:numFmt w:val="none"/>
      <w:suff w:val="tab"/>
      <w:lvlText w:val="%2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2">
      <w:start w:val="1"/>
      <w:numFmt w:val="none"/>
      <w:suff w:val="tab"/>
      <w:lvlText w:val="%3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3">
      <w:start w:val="1"/>
      <w:numFmt w:val="none"/>
      <w:suff w:val="tab"/>
      <w:lvlText w:val="%4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4">
      <w:start w:val="1"/>
      <w:numFmt w:val="none"/>
      <w:suff w:val="tab"/>
      <w:lvlText w:val="%5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5">
      <w:start w:val="1"/>
      <w:numFmt w:val="none"/>
      <w:suff w:val="tab"/>
      <w:lvlText w:val="%6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6">
      <w:start w:val="1"/>
      <w:numFmt w:val="none"/>
      <w:suff w:val="tab"/>
      <w:lvlText w:val="%7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7">
      <w:start w:val="1"/>
      <w:numFmt w:val="none"/>
      <w:suff w:val="tab"/>
      <w:lvlText w:val="%8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8">
      <w:start w:val="1"/>
      <w:numFmt w:val="none"/>
      <w:suff w:val="tab"/>
      <w:lvlText w:val="%9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</w:abstractNum>
  <w:abstractNum w:abstractNumId="136913740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lang w:val="ru-RU" w:bidi="ru-RU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lang w:val="ru-RU" w:bidi="ru-RU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  <w:lang w:val="ru-RU" w:bidi="ru-RU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  <w:lang w:val="ru-RU" w:bidi="ru-RU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  <w:lang w:val="ru-RU" w:bidi="ru-RU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  <w:lang w:val="ru-RU" w:bidi="ru-RU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  <w:lang w:val="ru-RU" w:bidi="ru-RU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  <w:lang w:val="ru-RU" w:bidi="ru-RU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  <w:lang w:val="ru-RU" w:bidi="ru-RU"/>
      </w:rPr>
    </w:lvl>
  </w:abstractNum>
  <w:num w:numId="1">
    <w:abstractNumId w:val="1"/>
  </w:num>
  <w:num w:numId="2">
    <w:abstractNumId w:val="1139497574"/>
  </w:num>
  <w:num w:numId="3">
    <w:abstractNumId w:val="13691374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1"/>
    <w:footnote w:id="0"/>
  </w:footnotePr>
  <w:endnotePr>
    <w:pos w:val="docEnd"/>
    <w:endnote w:id="1"/>
    <w:endnote w:id="0"/>
  </w:endnotePr>
  <w:compat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ru-RU" w:bidi="ru-RU"/>
      </w:rPr>
    </w:rPrDefault>
    <w:pPrDefault>
      <w:pPr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lang w:val="ru-RU" w:bidi="ru-RU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2">
    <w:name w:val="heading 2"/>
    <w:basedOn w:val="Style_0"/>
    <w:uiPriority w:val="9"/>
    <w:qFormat/>
    <w:pPr>
      <w:keepNext/>
      <w:numPr>
        <w:numId w:val="1"/>
        <w:ilvl w:val="1"/>
      </w:numPr>
      <w:tabs>
        <w:tab w:val="left" w:pos="0"/>
      </w:tabs>
      <w:spacing w:before="280" w:after="280" w:line="240" w:lineRule="auto"/>
      <w:ind w:left="0" w:right="0"/>
      <w:jc w:val="center"/>
      <w:outlineLvl w:val="1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b/>
      <w:bCs/>
      <w:sz w:val="36"/>
      <w:szCs w:val="36"/>
      <w:lang w:val="ru-RU" w:bidi="ar-SA"/>
    </w:rPr>
  </w:style>
  <w:style w:type="character" w:styleId="Style_10">
    <w:name w:val="Default Paragraph Font"/>
    <w:uiPriority w:val="1"/>
    <w:semiHidden/>
    <w:rPr>
      <w:rFonts w:ascii="Times New Roman" w:hAnsi="Times New Roman" w:eastAsia="Times New Roman" w:cs="Times New Roman"/>
      <w:sz w:val="24"/>
      <w:szCs w:val="24"/>
      <w:lang w:val="ru-RU" w:bidi="ru-RU"/>
    </w:rPr>
  </w:style>
  <w:style w:type="table" w:styleId="Style_11">
    <w:name w:val="Normal Table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2 Знак"/>
    <w:basedOn w:val="Style_10"/>
    <w:uiPriority w:val="9"/>
    <w:semiHidden/>
    <w:locked/>
    <w:rPr>
      <w:rFonts w:ascii="Calibri Light" w:hAnsi="Calibri Light" w:eastAsia="Calibri Light" w:cs="Calibri Light"/>
      <w:b/>
      <w:bCs/>
      <w:i/>
      <w:iCs/>
      <w:sz w:val="28"/>
      <w:szCs w:val="28"/>
      <w:lang w:bidi="ar-SA"/>
    </w:rPr>
  </w:style>
  <w:style w:type="character" w:styleId="Style_16">
    <w:name w:val="Absatz-Standardschriftart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7">
    <w:name w:val="WW-Absatz-Standardschriftart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8">
    <w:name w:val="WW-Absatz-Standardschriftart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9">
    <w:name w:val="WW-Absatz-Standardschriftart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0">
    <w:name w:val="WW8Num1z0"/>
    <w:uiPriority w:val="0"/>
    <w:rPr>
      <w:rFonts w:ascii="Symbol" w:hAnsi="Symbol" w:eastAsia="Symbol" w:cs="Symbol"/>
      <w:sz w:val="18"/>
      <w:szCs w:val="18"/>
      <w:lang w:val="ru-RU" w:bidi="ru-RU"/>
    </w:rPr>
  </w:style>
  <w:style w:type="character" w:styleId="Style_21">
    <w:name w:val="WW-Absatz-Standardschriftart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2">
    <w:name w:val="WW-Absatz-Standardschriftart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3">
    <w:name w:val="WW-Absatz-Standardschriftart1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4">
    <w:name w:val="WW-Absatz-Standardschriftart11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5">
    <w:name w:val="Основной шрифт абзаца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6">
    <w:name w:val="Символ нумерации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7">
    <w:name w:val="Маркеры списка"/>
    <w:uiPriority w:val="0"/>
    <w:rPr>
      <w:rFonts w:ascii="StarSymbol" w:hAnsi="StarSymbol" w:eastAsia="StarSymbol" w:cs="StarSymbol"/>
      <w:sz w:val="18"/>
      <w:szCs w:val="18"/>
      <w:lang w:val="ru-RU" w:bidi="ru-RU"/>
    </w:rPr>
  </w:style>
  <w:style w:type="paragraph" w:styleId="Style_28">
    <w:name w:val="Заголовок"/>
    <w:basedOn w:val="Style_0"/>
    <w:uiPriority w:val="0"/>
    <w:pPr>
      <w:keepNext/>
      <w:spacing w:before="24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Arial" w:hAnsi="Arial" w:eastAsia="Arial" w:cs="Arial"/>
      <w:sz w:val="28"/>
      <w:szCs w:val="28"/>
      <w:lang w:val="ru-RU" w:bidi="ar-SA"/>
    </w:rPr>
  </w:style>
  <w:style w:type="paragraph" w:styleId="Style_29">
    <w:name w:val="Body Text"/>
    <w:basedOn w:val="Style_0"/>
    <w:semiHidden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Style_30">
    <w:name w:val="Основной текст Знак"/>
    <w:basedOn w:val="Style_10"/>
    <w:semiHidden/>
    <w:locked/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_31">
    <w:name w:val="List"/>
    <w:basedOn w:val="Style_29"/>
    <w:semiHidden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2">
    <w:name w:val="Название1"/>
    <w:basedOn w:val="Style_0"/>
    <w:uiPriority w:val="0"/>
    <w:pPr>
      <w:spacing w:before="12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i/>
      <w:iCs/>
      <w:sz w:val="24"/>
      <w:szCs w:val="24"/>
      <w:lang w:val="ru-RU" w:bidi="ar-SA"/>
    </w:rPr>
  </w:style>
  <w:style w:type="paragraph" w:styleId="Style_33">
    <w:name w:val="Указатель1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4">
    <w:name w:val="Содержимое таблицы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5">
    <w:name w:val="Заголовок таблицы"/>
    <w:basedOn w:val="Style_34"/>
    <w:uiPriority w:val="0"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ar-SA"/>
    </w:rPr>
  </w:style>
  <w:style w:type="paragraph" w:styleId="Style_36">
    <w:name w:val="ConsNonformat"/>
    <w:uiPriority w:val="0"/>
    <w:pPr>
      <w:spacing w:before="0" w:after="0" w:line="240" w:lineRule="auto"/>
      <w:ind w:left="0" w:right="19772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ourier New" w:hAnsi="Courier New" w:eastAsia="Courier New" w:cs="Courier New"/>
      <w:sz w:val="20"/>
      <w:szCs w:val="20"/>
      <w:lang w:val="ru-RU" w:bidi="ar-SA"/>
    </w:rPr>
  </w:style>
  <w:style w:type="paragraph" w:styleId="Style_37">
    <w:name w:val="Normal (Web)"/>
    <w:basedOn w:val="Style_0"/>
    <w:pPr>
      <w:spacing w:before="280" w:after="119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8">
    <w:name w:val="Balloon Text"/>
    <w:basedOn w:val="Style_0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Segoe UI" w:hAnsi="Segoe UI" w:eastAsia="Segoe UI" w:cs="Segoe UI"/>
      <w:sz w:val="18"/>
      <w:szCs w:val="18"/>
      <w:lang w:val="ru-RU" w:bidi="ar-SA"/>
    </w:rPr>
  </w:style>
  <w:style w:type="character" w:styleId="Style_39">
    <w:name w:val="Текст выноски Знак"/>
    <w:basedOn w:val="Style_10"/>
    <w:semiHidden/>
    <w:locked/>
    <w:rPr>
      <w:rFonts w:ascii="Segoe UI" w:hAnsi="Segoe UI" w:eastAsia="Segoe UI" w:cs="Segoe UI"/>
      <w:sz w:val="18"/>
      <w:szCs w:val="18"/>
      <w:lang w:bidi="ar-SA"/>
    </w:rPr>
  </w:style>
  <w:style w:type="paragraph" w:styleId="Style_40">
    <w:name w:val="ConsNormal"/>
    <w:uiPriority w:val="0"/>
    <w:pPr>
      <w:spacing w:before="0" w:after="0" w:line="240" w:lineRule="auto"/>
      <w:ind w:left="0" w:right="19772" w:firstLine="72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Arial" w:hAnsi="Arial" w:eastAsia="Arial" w:cs="Arial"/>
      <w:sz w:val="20"/>
      <w:szCs w:val="20"/>
      <w:lang w:val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haractersWithSpaces>18479</CharactersWithSpaces>
  <DocSecurity>0</DocSecurity>
  <HyperlinksChanged>false</HyperlinksChanged>
  <LinksUpToDate>false</LinksUpToDate>
  <Pages>12</Pages>
  <ScaleCrop>false</ScaleCrop>
  <SharedDoc>false</SharedDoc>
  <TotalTime>316</TotalTime>
  <Words>3241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отдел</dc:title>
  <dc:creator>789</dc:creator>
  <cp:lastModifiedBy/>
</cp:coreProperties>
</file>